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AD10" w14:textId="30B08CA7" w:rsidR="00B34A05" w:rsidRDefault="00B34A05"/>
    <w:p w14:paraId="20B137C5" w14:textId="386C77EA" w:rsidR="001C3955" w:rsidRPr="001C3955" w:rsidRDefault="001C3955" w:rsidP="001C3955">
      <w:pPr>
        <w:jc w:val="center"/>
        <w:rPr>
          <w:b/>
          <w:bCs/>
          <w:sz w:val="40"/>
          <w:szCs w:val="40"/>
        </w:rPr>
      </w:pPr>
      <w:r w:rsidRPr="001C3955">
        <w:rPr>
          <w:b/>
          <w:bCs/>
          <w:sz w:val="40"/>
          <w:szCs w:val="40"/>
        </w:rPr>
        <w:t>Z</w:t>
      </w:r>
      <w:r>
        <w:rPr>
          <w:b/>
          <w:bCs/>
          <w:sz w:val="40"/>
          <w:szCs w:val="40"/>
        </w:rPr>
        <w:t>PRÁVA</w:t>
      </w:r>
    </w:p>
    <w:p w14:paraId="0B651D5D" w14:textId="572A9EBB" w:rsidR="001C3955" w:rsidRDefault="007D427A" w:rsidP="001C39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</w:t>
      </w:r>
      <w:r w:rsidR="001C3955" w:rsidRPr="001C3955">
        <w:rPr>
          <w:b/>
          <w:bCs/>
          <w:sz w:val="24"/>
          <w:szCs w:val="24"/>
        </w:rPr>
        <w:t>jednání pověřenců pro řešení sporu mezi ZO Kamínka a uživateli dílců 301 až 332</w:t>
      </w:r>
    </w:p>
    <w:p w14:paraId="38A66AF2" w14:textId="7A582A80" w:rsidR="001C3955" w:rsidRPr="001C3955" w:rsidRDefault="001C3955" w:rsidP="001C39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 dne 26.února 2026</w:t>
      </w:r>
    </w:p>
    <w:p w14:paraId="5A2F0D22" w14:textId="77777777" w:rsidR="001C3955" w:rsidRDefault="001C3955"/>
    <w:p w14:paraId="36F9DD29" w14:textId="3E39CB2F" w:rsidR="007D427A" w:rsidRDefault="001C3955">
      <w:r>
        <w:t xml:space="preserve">Dne 26.2.2026 byla svolána Výborová schůze ZO Kamínka, která se ve svém závěru </w:t>
      </w:r>
      <w:r w:rsidR="007D427A">
        <w:t xml:space="preserve">opětovně </w:t>
      </w:r>
      <w:r>
        <w:t xml:space="preserve">zabývala majetkovým sporem mezi uživateli dílců 301 až 332 (dále jen „300“) a ZO Kamínka (dále jen „ZO“). </w:t>
      </w:r>
    </w:p>
    <w:p w14:paraId="38913F05" w14:textId="0FFFBF92" w:rsidR="001C3955" w:rsidRDefault="007D427A" w:rsidP="007D427A">
      <w:pPr>
        <w:pStyle w:val="Odstavecseseznamem"/>
        <w:numPr>
          <w:ilvl w:val="0"/>
          <w:numId w:val="1"/>
        </w:numPr>
      </w:pPr>
      <w:r>
        <w:t>o</w:t>
      </w:r>
      <w:r w:rsidR="001C3955">
        <w:t>d ukončení předcházející ČS</w:t>
      </w:r>
      <w:r>
        <w:t xml:space="preserve"> šlo již o v pořadí o třetí jednání,</w:t>
      </w:r>
    </w:p>
    <w:p w14:paraId="2A7EB173" w14:textId="77777777" w:rsidR="007D427A" w:rsidRDefault="007D427A" w:rsidP="007D427A">
      <w:pPr>
        <w:pStyle w:val="Odstavecseseznamem"/>
        <w:numPr>
          <w:ilvl w:val="0"/>
          <w:numId w:val="1"/>
        </w:numPr>
      </w:pPr>
      <w:r>
        <w:t>„ZO“ pro jednání zastupují Jan Molič, Gabriela Růžičková a JUDr. Ladislav Valenta a skupinu „300“  Alena Reinholdová, Rostislav Zapletal a JUDr. Jan Soviš,</w:t>
      </w:r>
    </w:p>
    <w:p w14:paraId="5E2574D6" w14:textId="2ED17D84" w:rsidR="007D427A" w:rsidRDefault="007D427A" w:rsidP="007D427A">
      <w:pPr>
        <w:pStyle w:val="Odstavecseseznamem"/>
        <w:numPr>
          <w:ilvl w:val="0"/>
          <w:numId w:val="1"/>
        </w:numPr>
      </w:pPr>
      <w:r>
        <w:t>při jednání byly probrány všechny dosud navrhované varianty řešení</w:t>
      </w:r>
      <w:r w:rsidR="00A9460A">
        <w:t>:</w:t>
      </w:r>
    </w:p>
    <w:p w14:paraId="7A207CE7" w14:textId="0EBC99E4" w:rsidR="00A9460A" w:rsidRDefault="00A9460A" w:rsidP="00A9460A">
      <w:pPr>
        <w:pStyle w:val="Odstavecseseznamem"/>
        <w:numPr>
          <w:ilvl w:val="0"/>
          <w:numId w:val="2"/>
        </w:numPr>
      </w:pPr>
      <w:r>
        <w:t>nulová varianta – tedy ponechání stavu, takový, jaký je a nic neřešit,</w:t>
      </w:r>
    </w:p>
    <w:p w14:paraId="7BD9F768" w14:textId="779569E2" w:rsidR="00A9460A" w:rsidRDefault="00A9460A" w:rsidP="00A9460A">
      <w:pPr>
        <w:pStyle w:val="Odstavecseseznamem"/>
        <w:numPr>
          <w:ilvl w:val="0"/>
          <w:numId w:val="2"/>
        </w:numPr>
      </w:pPr>
      <w:r>
        <w:t xml:space="preserve">dříve navrhovaná garanční varianta, navrhovaná „300“ pro zajištění jejich majetkových práv formou předkupního práva a bloku v katastru nemovitostí, s variantou nesouhlasila „ZO“, </w:t>
      </w:r>
    </w:p>
    <w:p w14:paraId="1D59CAD7" w14:textId="38FE74F6" w:rsidR="00A9460A" w:rsidRDefault="00A9460A" w:rsidP="00A9460A">
      <w:pPr>
        <w:pStyle w:val="Odstavecseseznamem"/>
        <w:numPr>
          <w:ilvl w:val="0"/>
          <w:numId w:val="2"/>
        </w:numPr>
      </w:pPr>
      <w:r>
        <w:t xml:space="preserve">následný návrh „ZO“ na </w:t>
      </w:r>
      <w:r w:rsidR="0061720A">
        <w:t xml:space="preserve">dlouhodobé </w:t>
      </w:r>
      <w:r>
        <w:t>finanční vypořádání s „300“, bez jiných záruk, odmítnut ze strany „300“,</w:t>
      </w:r>
    </w:p>
    <w:p w14:paraId="2A69B440" w14:textId="77777777" w:rsidR="00AE1FBC" w:rsidRDefault="00A9460A" w:rsidP="00A9460A">
      <w:pPr>
        <w:pStyle w:val="Odstavecseseznamem"/>
        <w:numPr>
          <w:ilvl w:val="0"/>
          <w:numId w:val="2"/>
        </w:numPr>
      </w:pPr>
      <w:r>
        <w:t>převedení pozemků, na kterých leží dílce „300“</w:t>
      </w:r>
      <w:r w:rsidR="00AE1FBC">
        <w:t xml:space="preserve"> do vlastnictví jednotlivých uživatelů dílců „300“, v případě, že „300“ budou mít rozdílné názory na vypořádání,</w:t>
      </w:r>
    </w:p>
    <w:p w14:paraId="6578274A" w14:textId="6B93F4D9" w:rsidR="00AE1FBC" w:rsidRDefault="00AE1FBC" w:rsidP="00A9460A">
      <w:pPr>
        <w:pStyle w:val="Odstavecseseznamem"/>
        <w:numPr>
          <w:ilvl w:val="0"/>
          <w:numId w:val="2"/>
        </w:numPr>
      </w:pPr>
      <w:r>
        <w:t>vy</w:t>
      </w:r>
      <w:r w:rsidR="006777D8">
        <w:t>členě</w:t>
      </w:r>
      <w:r>
        <w:t>ní druhé „ZO“ odtržením od původní ZO Kamínka z pozemků na nichž leží dílce „300“ a následné převedení těchto pozemků na tuto novou „ZO“, se kterou následně uzavřít smlouvu o spolupráci,</w:t>
      </w:r>
    </w:p>
    <w:p w14:paraId="546B0892" w14:textId="77777777" w:rsidR="0061720A" w:rsidRDefault="0061720A" w:rsidP="00A9460A">
      <w:pPr>
        <w:pStyle w:val="Odstavecseseznamem"/>
        <w:numPr>
          <w:ilvl w:val="0"/>
          <w:numId w:val="2"/>
        </w:numPr>
      </w:pPr>
      <w:r>
        <w:t>nevytvářet druhou „ZO“, rozparcelovat pozemek na němž jsou „300“ na jednotlivé dílce, tyto převést do vlastnictví „300“, omezit při převodu „300“ ve vlastnických právech a ponechat pozemky přístupových cest ve vlastnictví ZO Kamínka,</w:t>
      </w:r>
    </w:p>
    <w:p w14:paraId="097014D3" w14:textId="7F0804EE" w:rsidR="00CA4C67" w:rsidRPr="00053128" w:rsidRDefault="0061720A" w:rsidP="00A9460A">
      <w:pPr>
        <w:pStyle w:val="Odstavecseseznamem"/>
        <w:numPr>
          <w:ilvl w:val="0"/>
          <w:numId w:val="2"/>
        </w:numPr>
      </w:pPr>
      <w:r>
        <w:t xml:space="preserve">prodat pozemky na nichž se </w:t>
      </w:r>
      <w:r w:rsidRPr="00053128">
        <w:t xml:space="preserve">nachází dílce „300“ a vypořádat se </w:t>
      </w:r>
      <w:r w:rsidR="00CA4C67" w:rsidRPr="00053128">
        <w:t>následně s „300“, tzv. „rychlé vypořádání“.</w:t>
      </w:r>
    </w:p>
    <w:p w14:paraId="5143DDB8" w14:textId="4B824348" w:rsidR="00CA4C67" w:rsidRPr="00053128" w:rsidRDefault="00CA4C67" w:rsidP="00CA4C67">
      <w:pPr>
        <w:pStyle w:val="Odstavecseseznamem"/>
        <w:numPr>
          <w:ilvl w:val="0"/>
          <w:numId w:val="1"/>
        </w:numPr>
      </w:pPr>
      <w:r w:rsidRPr="00053128">
        <w:t>po projednání jednotlivých variant</w:t>
      </w:r>
      <w:r w:rsidR="002663ED" w:rsidRPr="00053128">
        <w:t>,</w:t>
      </w:r>
      <w:r w:rsidRPr="00053128">
        <w:t xml:space="preserve"> pověřenci obou stran doporučují Členské schůzi zvolit řešení z níže uvedených variant:</w:t>
      </w:r>
    </w:p>
    <w:p w14:paraId="6BD17C59" w14:textId="77777777" w:rsidR="00CA4C67" w:rsidRPr="00053128" w:rsidRDefault="00CA4C67" w:rsidP="00CA4C67">
      <w:pPr>
        <w:pStyle w:val="Odstavecseseznamem"/>
        <w:numPr>
          <w:ilvl w:val="0"/>
          <w:numId w:val="3"/>
        </w:numPr>
      </w:pPr>
      <w:r w:rsidRPr="00053128">
        <w:t>nulové varianty, nebo</w:t>
      </w:r>
    </w:p>
    <w:p w14:paraId="05C4F572" w14:textId="77101E50" w:rsidR="00CA4C67" w:rsidRDefault="00CA4C67" w:rsidP="00CA4C67">
      <w:pPr>
        <w:pStyle w:val="Odstavecseseznamem"/>
        <w:numPr>
          <w:ilvl w:val="0"/>
          <w:numId w:val="4"/>
        </w:numPr>
      </w:pPr>
      <w:r w:rsidRPr="00053128">
        <w:t>vytvoření druhé „ZO“</w:t>
      </w:r>
      <w:r w:rsidR="001244E5" w:rsidRPr="00053128">
        <w:t xml:space="preserve"> se skupinovým</w:t>
      </w:r>
      <w:r w:rsidR="001244E5">
        <w:t xml:space="preserve"> vlastnictvím inkriminovaných pozemků</w:t>
      </w:r>
      <w:r>
        <w:t>, nebo</w:t>
      </w:r>
    </w:p>
    <w:p w14:paraId="2499AFCB" w14:textId="39430B61" w:rsidR="00A9460A" w:rsidRDefault="00CA4C67" w:rsidP="00CA4C67">
      <w:pPr>
        <w:pStyle w:val="Odstavecseseznamem"/>
        <w:numPr>
          <w:ilvl w:val="0"/>
          <w:numId w:val="4"/>
        </w:numPr>
      </w:pPr>
      <w:r>
        <w:t>rozparcelovat</w:t>
      </w:r>
      <w:r w:rsidR="00A9460A">
        <w:t xml:space="preserve"> </w:t>
      </w:r>
      <w:r>
        <w:t>podmínečně pozemky pro jednotlivé uživatele</w:t>
      </w:r>
      <w:r w:rsidR="001244E5">
        <w:t xml:space="preserve"> v rámci stávající „ZO“</w:t>
      </w:r>
      <w:r>
        <w:t>, nebo</w:t>
      </w:r>
    </w:p>
    <w:p w14:paraId="69DB48DE" w14:textId="0B209132" w:rsidR="00CA4C67" w:rsidRDefault="001244E5" w:rsidP="00CA4C67">
      <w:pPr>
        <w:pStyle w:val="Odstavecseseznamem"/>
        <w:numPr>
          <w:ilvl w:val="0"/>
          <w:numId w:val="4"/>
        </w:numPr>
      </w:pPr>
      <w:r>
        <w:t>provést „rychlé vypořádání“ formou prodeje pozemků na nichž se nachází dílce „300“.</w:t>
      </w:r>
    </w:p>
    <w:p w14:paraId="69E655B5" w14:textId="7F198FB0" w:rsidR="002663ED" w:rsidRDefault="002663ED" w:rsidP="002663ED">
      <w:pPr>
        <w:pStyle w:val="Odstavecseseznamem"/>
        <w:numPr>
          <w:ilvl w:val="0"/>
          <w:numId w:val="1"/>
        </w:numPr>
      </w:pPr>
      <w:r>
        <w:t>charakteristika a dopady doporučovaných variant:</w:t>
      </w:r>
    </w:p>
    <w:p w14:paraId="6E661358" w14:textId="25BB9BDC" w:rsidR="006777D8" w:rsidRDefault="006777D8" w:rsidP="002663ED">
      <w:pPr>
        <w:pStyle w:val="Odstavecseseznamem"/>
        <w:numPr>
          <w:ilvl w:val="0"/>
          <w:numId w:val="5"/>
        </w:numPr>
      </w:pPr>
      <w:r w:rsidRPr="00DD2C95">
        <w:rPr>
          <w:b/>
          <w:bCs/>
        </w:rPr>
        <w:t>nulová varianta</w:t>
      </w:r>
      <w:r>
        <w:t xml:space="preserve"> - </w:t>
      </w:r>
      <w:r w:rsidR="002663ED">
        <w:t>jde o ponechání stávajícího sta</w:t>
      </w:r>
      <w:r>
        <w:t>v</w:t>
      </w:r>
      <w:r w:rsidR="002663ED">
        <w:t>u, tedy ponechání všech nedořešků a nedotažků na následujících generacíc</w:t>
      </w:r>
      <w:r>
        <w:t>h</w:t>
      </w:r>
      <w:r w:rsidR="002663ED">
        <w:t>, za předp</w:t>
      </w:r>
      <w:r>
        <w:t>okladu, že ZO Kamínka bude existovat. Tato varianta spolehlivě zaručuje další trvání nevraživosti, nejistoty a závisti mezi „300“ a zbytkem „ZO“.</w:t>
      </w:r>
    </w:p>
    <w:p w14:paraId="2D80642A" w14:textId="50F273D2" w:rsidR="002663ED" w:rsidRDefault="006777D8" w:rsidP="003F2879">
      <w:pPr>
        <w:pStyle w:val="Odstavecseseznamem"/>
        <w:numPr>
          <w:ilvl w:val="0"/>
          <w:numId w:val="6"/>
        </w:numPr>
      </w:pPr>
      <w:r w:rsidRPr="003F2879">
        <w:rPr>
          <w:b/>
          <w:bCs/>
        </w:rPr>
        <w:t>vyčlenění druhé „ZO“</w:t>
      </w:r>
      <w:r>
        <w:t xml:space="preserve"> se skupinovým vlastnictvím pozemků, je nejjednodušším a nejméně nákladným řešením letitého sporu. Kolektivní vlastnictví pozemků vysokou měrou zabraňuje spekulaci s pozemky „300“. Jakékoliv zcizení pozemků se spekulativními</w:t>
      </w:r>
      <w:r w:rsidR="00DD2C95">
        <w:t xml:space="preserve"> záměry, není prakticky možné bez kolektivní vůle nové „ZO“. Zlou krev zde však může vyvolat fakt, že hodnota pozemků „300“ patrně nadále poroste a vložení financí do </w:t>
      </w:r>
      <w:r w:rsidR="00DD2C95">
        <w:lastRenderedPageBreak/>
        <w:t xml:space="preserve">projektu v roce 2003 lze tak </w:t>
      </w:r>
      <w:r w:rsidR="003E5168">
        <w:t xml:space="preserve">právem </w:t>
      </w:r>
      <w:r w:rsidR="00DD2C95">
        <w:t xml:space="preserve">považovat za hodnotnou investici ze strany „300“, z níž byli předem vyloučeni ostatní zahrádkáři… </w:t>
      </w:r>
      <w:r>
        <w:t xml:space="preserve"> </w:t>
      </w:r>
    </w:p>
    <w:p w14:paraId="5DCCA316" w14:textId="27F17913" w:rsidR="00053128" w:rsidRDefault="00053128" w:rsidP="003F2879">
      <w:pPr>
        <w:pStyle w:val="Odstavecseseznamem"/>
        <w:numPr>
          <w:ilvl w:val="0"/>
          <w:numId w:val="6"/>
        </w:numPr>
      </w:pPr>
      <w:r>
        <w:rPr>
          <w:b/>
          <w:bCs/>
        </w:rPr>
        <w:t xml:space="preserve">rozparcelování pozemků „300“ </w:t>
      </w:r>
      <w:r>
        <w:t>do individuálního vlastnictví nezaručuje, že jednotlivci nebudou s převedenými pozemky spekulovat a využívat je i k jiným účelům, než</w:t>
      </w:r>
      <w:r w:rsidR="003F2879">
        <w:t xml:space="preserve"> jen </w:t>
      </w:r>
      <w:r>
        <w:t xml:space="preserve">k zahrádkaření. Je otázkou povolí-li katastr nemovitostí tzv. „atomizaci“ těchto pozemků. </w:t>
      </w:r>
      <w:r w:rsidR="003F2879">
        <w:t>Rovněž je otázkou, zda ponechání pozemků přístupových cest</w:t>
      </w:r>
      <w:r w:rsidR="00C72FEF">
        <w:t xml:space="preserve"> ve vlastnictví ZO Kamínka</w:t>
      </w:r>
      <w:r w:rsidR="003F2879">
        <w:t xml:space="preserve"> není omezením vlastnického práva. </w:t>
      </w:r>
      <w:r>
        <w:t>Převedením do soukromého vlastnictví vznikají</w:t>
      </w:r>
      <w:r w:rsidR="003F2879">
        <w:t xml:space="preserve"> totiž</w:t>
      </w:r>
      <w:r>
        <w:t xml:space="preserve"> vlastníkům práva zakotvená v Ústavě ČR a LZPS</w:t>
      </w:r>
      <w:r w:rsidR="003F2879">
        <w:t>, která nelze regulovat nižší právní silou</w:t>
      </w:r>
      <w:r>
        <w:t>. Je</w:t>
      </w:r>
      <w:r w:rsidR="003F2879">
        <w:t xml:space="preserve"> tedy</w:t>
      </w:r>
      <w:r>
        <w:t xml:space="preserve"> otázkou, zda lze při takovémto převodu pozemku zakotvovat při převodu majetková a účelová omezení…</w:t>
      </w:r>
      <w:r w:rsidR="003F2879">
        <w:t xml:space="preserve"> Mimo uvedené jde patrně o nejnákladnější variantu.</w:t>
      </w:r>
      <w:r>
        <w:t xml:space="preserve"> </w:t>
      </w:r>
    </w:p>
    <w:p w14:paraId="372E5F45" w14:textId="10B49FA9" w:rsidR="003F2879" w:rsidRDefault="003F2879" w:rsidP="00A10D65">
      <w:pPr>
        <w:pStyle w:val="Odstavecseseznamem"/>
        <w:numPr>
          <w:ilvl w:val="0"/>
          <w:numId w:val="6"/>
        </w:numPr>
      </w:pPr>
      <w:r>
        <w:rPr>
          <w:b/>
          <w:bCs/>
        </w:rPr>
        <w:t>„ry</w:t>
      </w:r>
      <w:r w:rsidR="00A10D65">
        <w:rPr>
          <w:b/>
          <w:bCs/>
        </w:rPr>
        <w:t>c</w:t>
      </w:r>
      <w:r>
        <w:rPr>
          <w:b/>
          <w:bCs/>
        </w:rPr>
        <w:t>hlé vypořádání“</w:t>
      </w:r>
      <w:r>
        <w:t xml:space="preserve"> znamená sice na jedné straně patrně vysoký zisk pro ZO Kamínka</w:t>
      </w:r>
      <w:r w:rsidR="00A10D65">
        <w:t>, ze kterého by patrně bylo možné provést bezproblémově vyrovnání s „300“ a ještě by asi zůstala nemalá rezerva, např. pro realizaci projektu obnovení rozvodů užitkové vody a elektrické soustavy, ale znamenalo by to</w:t>
      </w:r>
      <w:r w:rsidR="004D4FF7">
        <w:t>:</w:t>
      </w:r>
    </w:p>
    <w:p w14:paraId="396670B4" w14:textId="61395F20" w:rsidR="00A10D65" w:rsidRDefault="00A10D65" w:rsidP="00A10D65">
      <w:pPr>
        <w:pStyle w:val="Odstavecseseznamem"/>
        <w:numPr>
          <w:ilvl w:val="0"/>
          <w:numId w:val="8"/>
        </w:numPr>
      </w:pPr>
      <w:r>
        <w:t>zmenšení ZO Kamínka o 31 zahradních dílců,</w:t>
      </w:r>
    </w:p>
    <w:p w14:paraId="3820C79B" w14:textId="69AB5841" w:rsidR="00A10D65" w:rsidRDefault="00A10D65" w:rsidP="00A10D65">
      <w:pPr>
        <w:pStyle w:val="Odstavecseseznamem"/>
        <w:numPr>
          <w:ilvl w:val="0"/>
          <w:numId w:val="8"/>
        </w:numPr>
      </w:pPr>
      <w:r>
        <w:t xml:space="preserve">ukončení zahrádkaření </w:t>
      </w:r>
      <w:r w:rsidR="004D4FF7">
        <w:t xml:space="preserve">pro </w:t>
      </w:r>
      <w:r>
        <w:t>„300“</w:t>
      </w:r>
      <w:r w:rsidR="004D4FF7">
        <w:t xml:space="preserve"> v rámci ZO Kamínka</w:t>
      </w:r>
      <w:r>
        <w:t>,</w:t>
      </w:r>
    </w:p>
    <w:p w14:paraId="0ADB58BD" w14:textId="53A6712D" w:rsidR="00A10D65" w:rsidRDefault="00A10D65" w:rsidP="00A10D65">
      <w:pPr>
        <w:pStyle w:val="Odstavecseseznamem"/>
        <w:numPr>
          <w:ilvl w:val="0"/>
          <w:numId w:val="8"/>
        </w:numPr>
      </w:pPr>
      <w:r>
        <w:t>protože by prodej pozemků musel být rentabilní, nedalo by se přihlížet příliš k záměru, ke kterému by nákup pozemků směřoval, část severní strany „ZO“ by se tak „odkryla“ možným developerům,</w:t>
      </w:r>
    </w:p>
    <w:p w14:paraId="3645C679" w14:textId="0FB4EDE3" w:rsidR="00A10D65" w:rsidRDefault="004D4FF7" w:rsidP="00A10D65">
      <w:pPr>
        <w:pStyle w:val="Odstavecseseznamem"/>
        <w:numPr>
          <w:ilvl w:val="0"/>
          <w:numId w:val="8"/>
        </w:numPr>
      </w:pPr>
      <w:r>
        <w:t>zmenšením ZO Kamínka by patrně klesla i možnost obrany ZO jako celku proti agresivním záměrům developerů při změně Územního plánu HMP.</w:t>
      </w:r>
    </w:p>
    <w:p w14:paraId="1F678EC8" w14:textId="182AE252" w:rsidR="004D4FF7" w:rsidRDefault="004D4FF7" w:rsidP="004D4FF7">
      <w:pPr>
        <w:pStyle w:val="Odstavecseseznamem"/>
        <w:numPr>
          <w:ilvl w:val="0"/>
          <w:numId w:val="1"/>
        </w:numPr>
      </w:pPr>
      <w:r>
        <w:t>Pověřenci obou stran nedospěli při žádném jednání ke společnému řešení sporu se „300“,</w:t>
      </w:r>
    </w:p>
    <w:p w14:paraId="554F6DE5" w14:textId="3F2222F9" w:rsidR="004D4FF7" w:rsidRDefault="004D4FF7" w:rsidP="004D4FF7">
      <w:pPr>
        <w:pStyle w:val="Odstavecseseznamem"/>
        <w:numPr>
          <w:ilvl w:val="0"/>
          <w:numId w:val="1"/>
        </w:numPr>
      </w:pPr>
      <w:r>
        <w:t>Rozhodnutí, v souladu se Stanovami ČZS je tedy je na ČS, aby vybrala většinovým hlasováním směr dalš</w:t>
      </w:r>
      <w:r w:rsidR="000F4796">
        <w:t>ího řešení</w:t>
      </w:r>
      <w:r w:rsidR="003E5168">
        <w:t>.</w:t>
      </w:r>
      <w:r>
        <w:t xml:space="preserve"> </w:t>
      </w:r>
    </w:p>
    <w:p w14:paraId="25186233" w14:textId="11CF80E5" w:rsidR="004D4FF7" w:rsidRDefault="004D4FF7" w:rsidP="004D4FF7">
      <w:r>
        <w:t>Zpracoval dne 27.2.2026</w:t>
      </w:r>
    </w:p>
    <w:p w14:paraId="26213B90" w14:textId="7F062A10" w:rsidR="004D4FF7" w:rsidRPr="00A10D65" w:rsidRDefault="004D4FF7" w:rsidP="004D4FF7">
      <w:r>
        <w:t>JUDr. Valenta</w:t>
      </w:r>
    </w:p>
    <w:p w14:paraId="594BA5C1" w14:textId="1D311BF0" w:rsidR="001C3955" w:rsidRDefault="001244E5">
      <w:r>
        <w:t xml:space="preserve"> </w:t>
      </w:r>
    </w:p>
    <w:sectPr w:rsidR="001C3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5506"/>
    <w:multiLevelType w:val="hybridMultilevel"/>
    <w:tmpl w:val="E26C0F4E"/>
    <w:lvl w:ilvl="0" w:tplc="96D4B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12674"/>
    <w:multiLevelType w:val="hybridMultilevel"/>
    <w:tmpl w:val="35A456CC"/>
    <w:lvl w:ilvl="0" w:tplc="225EF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D12B4"/>
    <w:multiLevelType w:val="hybridMultilevel"/>
    <w:tmpl w:val="569030EE"/>
    <w:lvl w:ilvl="0" w:tplc="AF780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73E3"/>
    <w:multiLevelType w:val="hybridMultilevel"/>
    <w:tmpl w:val="D16494AC"/>
    <w:lvl w:ilvl="0" w:tplc="D90C35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D5927"/>
    <w:multiLevelType w:val="hybridMultilevel"/>
    <w:tmpl w:val="289A1AD2"/>
    <w:lvl w:ilvl="0" w:tplc="AC28E4E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11CFC"/>
    <w:multiLevelType w:val="hybridMultilevel"/>
    <w:tmpl w:val="D444DED2"/>
    <w:lvl w:ilvl="0" w:tplc="D54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767FF"/>
    <w:multiLevelType w:val="hybridMultilevel"/>
    <w:tmpl w:val="15EEBA0A"/>
    <w:lvl w:ilvl="0" w:tplc="32D6CD72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2017052"/>
    <w:multiLevelType w:val="hybridMultilevel"/>
    <w:tmpl w:val="00B0DEEE"/>
    <w:lvl w:ilvl="0" w:tplc="D750B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107240">
    <w:abstractNumId w:val="2"/>
  </w:num>
  <w:num w:numId="2" w16cid:durableId="1783652237">
    <w:abstractNumId w:val="5"/>
  </w:num>
  <w:num w:numId="3" w16cid:durableId="1163007826">
    <w:abstractNumId w:val="0"/>
  </w:num>
  <w:num w:numId="4" w16cid:durableId="1750812292">
    <w:abstractNumId w:val="7"/>
  </w:num>
  <w:num w:numId="5" w16cid:durableId="796872649">
    <w:abstractNumId w:val="1"/>
  </w:num>
  <w:num w:numId="6" w16cid:durableId="1355620392">
    <w:abstractNumId w:val="4"/>
  </w:num>
  <w:num w:numId="7" w16cid:durableId="1031685975">
    <w:abstractNumId w:val="6"/>
  </w:num>
  <w:num w:numId="8" w16cid:durableId="42542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8C"/>
    <w:rsid w:val="00053128"/>
    <w:rsid w:val="000B5DD6"/>
    <w:rsid w:val="000F4796"/>
    <w:rsid w:val="001244E5"/>
    <w:rsid w:val="001C3955"/>
    <w:rsid w:val="00240D15"/>
    <w:rsid w:val="002663ED"/>
    <w:rsid w:val="0032578C"/>
    <w:rsid w:val="003E5168"/>
    <w:rsid w:val="003F2879"/>
    <w:rsid w:val="004D4FF7"/>
    <w:rsid w:val="0061720A"/>
    <w:rsid w:val="006777D8"/>
    <w:rsid w:val="007B6227"/>
    <w:rsid w:val="007D427A"/>
    <w:rsid w:val="00A10D65"/>
    <w:rsid w:val="00A9460A"/>
    <w:rsid w:val="00A975C8"/>
    <w:rsid w:val="00AE1FBC"/>
    <w:rsid w:val="00B34A05"/>
    <w:rsid w:val="00C72FEF"/>
    <w:rsid w:val="00CA4C67"/>
    <w:rsid w:val="00D34BF1"/>
    <w:rsid w:val="00D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84E"/>
  <w15:chartTrackingRefBased/>
  <w15:docId w15:val="{C61B038A-8E2F-401C-B436-C9FD4629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7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7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7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7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7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7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7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7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7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7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Valenta</dc:creator>
  <cp:keywords/>
  <dc:description/>
  <cp:lastModifiedBy>Ladislav Valenta</cp:lastModifiedBy>
  <cp:revision>8</cp:revision>
  <dcterms:created xsi:type="dcterms:W3CDTF">2026-02-27T04:55:00Z</dcterms:created>
  <dcterms:modified xsi:type="dcterms:W3CDTF">2026-03-03T15:55:00Z</dcterms:modified>
</cp:coreProperties>
</file>